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ED0" w:rsidRDefault="00D71D9D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Corbel" w:eastAsia="Calibri" w:hAnsi="Corbel" w:cs="Times New Roman"/>
          <w:bCs/>
          <w:i/>
        </w:rPr>
        <w:t>Załącznik nr 1.5 do Zarządzenia Rektora UR nr 12/2019</w:t>
      </w:r>
    </w:p>
    <w:p w:rsidR="00061ED0" w:rsidRDefault="00D71D9D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:rsidR="00061ED0" w:rsidRDefault="00D71D9D">
      <w:pPr>
        <w:spacing w:after="0" w:line="240" w:lineRule="exact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>
        <w:rPr>
          <w:rFonts w:ascii="Corbel" w:eastAsia="Calibri" w:hAnsi="Corbel" w:cs="Times New Roman"/>
          <w:i/>
          <w:smallCaps/>
          <w:sz w:val="24"/>
          <w:szCs w:val="24"/>
        </w:rPr>
        <w:t>2020-2023</w:t>
      </w:r>
    </w:p>
    <w:p w:rsidR="00061ED0" w:rsidRDefault="00D71D9D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>
        <w:rPr>
          <w:rFonts w:ascii="Corbel" w:eastAsia="Calibri" w:hAnsi="Corbel" w:cs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eastAsia="Calibri" w:hAnsi="Corbel" w:cs="Times New Roman"/>
          <w:i/>
          <w:sz w:val="24"/>
          <w:szCs w:val="24"/>
        </w:rPr>
        <w:tab/>
      </w:r>
      <w:r>
        <w:rPr>
          <w:rFonts w:ascii="Corbel" w:eastAsia="Calibri" w:hAnsi="Corbel" w:cs="Times New Roman"/>
          <w:i/>
          <w:sz w:val="20"/>
          <w:szCs w:val="20"/>
        </w:rPr>
        <w:t>(skrajne daty</w:t>
      </w:r>
      <w:r>
        <w:rPr>
          <w:rFonts w:ascii="Corbel" w:eastAsia="Calibri" w:hAnsi="Corbel" w:cs="Times New Roman"/>
          <w:sz w:val="20"/>
          <w:szCs w:val="20"/>
        </w:rPr>
        <w:t>)</w:t>
      </w:r>
    </w:p>
    <w:p w:rsidR="00061ED0" w:rsidRDefault="00D71D9D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b/>
          <w:bCs/>
          <w:sz w:val="20"/>
          <w:szCs w:val="20"/>
        </w:rPr>
        <w:t xml:space="preserve">Rok akademicki </w:t>
      </w:r>
      <w:r>
        <w:rPr>
          <w:rFonts w:ascii="Corbel" w:eastAsia="Calibri" w:hAnsi="Corbel" w:cs="Times New Roman"/>
          <w:b/>
          <w:bCs/>
          <w:sz w:val="20"/>
          <w:szCs w:val="20"/>
        </w:rPr>
        <w:t>2021/2022</w:t>
      </w:r>
    </w:p>
    <w:p w:rsidR="00061ED0" w:rsidRDefault="00061ED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061ED0" w:rsidRDefault="00D71D9D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061ED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  <w:t>Public Relations</w:t>
            </w:r>
          </w:p>
        </w:tc>
      </w:tr>
      <w:tr w:rsidR="00061ED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S1S[3]B_04</w:t>
            </w:r>
          </w:p>
        </w:tc>
      </w:tr>
      <w:tr w:rsidR="00061ED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643"/>
              </w:tabs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061ED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FE6C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061ED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Kierunek </w:t>
            </w: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Socjologia</w:t>
            </w:r>
          </w:p>
        </w:tc>
      </w:tr>
      <w:tr w:rsidR="00061ED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  <w:t>I stopień</w:t>
            </w:r>
          </w:p>
        </w:tc>
      </w:tr>
      <w:tr w:rsidR="00061ED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061ED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061ED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  <w:t>Rok 2, semestr III</w:t>
            </w:r>
          </w:p>
        </w:tc>
      </w:tr>
      <w:tr w:rsidR="00061ED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specjalnościowy (spec. Badanie rynku i opinii publicznej)</w:t>
            </w:r>
          </w:p>
        </w:tc>
      </w:tr>
      <w:tr w:rsidR="00061ED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061ED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="00061ED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:rsidR="00061ED0" w:rsidRDefault="00D71D9D">
      <w:pPr>
        <w:tabs>
          <w:tab w:val="left" w:pos="-5814"/>
        </w:tabs>
        <w:spacing w:beforeAutospacing="1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:rsidR="00061ED0" w:rsidRDefault="00D71D9D">
      <w:pPr>
        <w:tabs>
          <w:tab w:val="left" w:pos="-5814"/>
        </w:tabs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="00061ED0" w:rsidRDefault="00061ED0">
      <w:pPr>
        <w:tabs>
          <w:tab w:val="left" w:pos="-5814"/>
        </w:tabs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061ED0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Inne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061ED0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061ED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061ED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061ED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061ED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061ED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061ED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061ED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:rsidR="00061ED0" w:rsidRDefault="00061ED0">
      <w:pPr>
        <w:tabs>
          <w:tab w:val="left" w:pos="-5814"/>
        </w:tabs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:rsidR="00061ED0" w:rsidRDefault="00061ED0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:rsidR="00061ED0" w:rsidRDefault="00D71D9D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1.2.</w:t>
      </w:r>
      <w:r>
        <w:rPr>
          <w:rFonts w:ascii="Corbel" w:eastAsia="Calibri" w:hAnsi="Corbel" w:cs="Times New Roman"/>
          <w:b/>
          <w:sz w:val="24"/>
          <w:szCs w:val="24"/>
        </w:rPr>
        <w:tab/>
        <w:t>Sposób realizacji zajęć</w:t>
      </w:r>
    </w:p>
    <w:p w:rsidR="00061ED0" w:rsidRDefault="00061ED0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</w:p>
    <w:p w:rsidR="00061ED0" w:rsidRDefault="00D71D9D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/>
          <w:smallCaps/>
          <w:sz w:val="24"/>
          <w:szCs w:val="24"/>
        </w:rPr>
        <w:t>×</w:t>
      </w:r>
      <w:r>
        <w:rPr>
          <w:rFonts w:ascii="Corbel" w:eastAsia="Calibri" w:hAnsi="Corbel" w:cs="Times New Roman"/>
          <w:sz w:val="24"/>
          <w:szCs w:val="24"/>
        </w:rPr>
        <w:t xml:space="preserve">zajęcia w formie tradycyjnej </w:t>
      </w:r>
    </w:p>
    <w:p w:rsidR="00061ED0" w:rsidRDefault="00D71D9D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/>
          <w:smallCaps/>
          <w:sz w:val="24"/>
          <w:szCs w:val="24"/>
        </w:rPr>
        <w:t>☐</w:t>
      </w:r>
      <w:r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:rsidR="00061ED0" w:rsidRDefault="00061ED0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061ED0" w:rsidRDefault="00D71D9D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(z toku) </w:t>
      </w:r>
      <w:r>
        <w:rPr>
          <w:rFonts w:ascii="Corbel" w:eastAsia="Calibri" w:hAnsi="Corbel" w:cs="Times New Roman"/>
          <w:sz w:val="24"/>
          <w:szCs w:val="24"/>
        </w:rPr>
        <w:t xml:space="preserve">(egzamin, zaliczenie z </w:t>
      </w:r>
      <w:r>
        <w:rPr>
          <w:rFonts w:ascii="Corbel" w:eastAsia="Calibri" w:hAnsi="Corbel" w:cs="Times New Roman"/>
          <w:sz w:val="24"/>
          <w:szCs w:val="24"/>
        </w:rPr>
        <w:t>oceną, zaliczenie bez oceny)</w:t>
      </w:r>
    </w:p>
    <w:p w:rsidR="00061ED0" w:rsidRDefault="00061ED0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061ED0" w:rsidRDefault="00D71D9D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:rsidR="00061ED0" w:rsidRDefault="00061ED0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061ED0" w:rsidRDefault="00D71D9D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:rsidR="00061ED0" w:rsidRDefault="00061ED0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brak</w:t>
            </w:r>
          </w:p>
        </w:tc>
      </w:tr>
    </w:tbl>
    <w:p w:rsidR="00061ED0" w:rsidRDefault="00061ED0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061ED0" w:rsidRDefault="00061ED0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061ED0" w:rsidRDefault="00D71D9D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br w:type="column"/>
      </w:r>
      <w:r>
        <w:rPr>
          <w:rFonts w:ascii="Corbel" w:eastAsia="Calibri" w:hAnsi="Corbel" w:cs="Times New Roman"/>
          <w:b/>
          <w:smallCaps/>
          <w:sz w:val="24"/>
          <w:szCs w:val="24"/>
        </w:rPr>
        <w:lastRenderedPageBreak/>
        <w:t>3. cele, efekty uczenia się , treści Programowe i stosowane metody Dydaktyczne</w:t>
      </w:r>
    </w:p>
    <w:p w:rsidR="00061ED0" w:rsidRDefault="00061ED0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061ED0" w:rsidRDefault="00D71D9D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:rsidR="00061ED0" w:rsidRDefault="00061ED0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061ED0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zapoznanie studentów z tematyką komunikacji społecznej, </w:t>
            </w: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autoprezentacji, wpływu społecznego, znaczenia wiedzy w społeczeństwie informacyjnym</w:t>
            </w:r>
          </w:p>
        </w:tc>
      </w:tr>
      <w:tr w:rsidR="00061ED0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814"/>
                <w:tab w:val="left" w:pos="720"/>
              </w:tabs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wykształcenie umiejętności analizy komunikacji instytucjonalnej i osobistej</w:t>
            </w:r>
          </w:p>
        </w:tc>
      </w:tr>
      <w:tr w:rsidR="00061ED0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kształtowanie umiejętności analizy współczesnych zjawisk społecznych zachodzących w </w:t>
            </w: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obszarze komunikacji</w:t>
            </w:r>
          </w:p>
        </w:tc>
      </w:tr>
    </w:tbl>
    <w:p w:rsidR="00061ED0" w:rsidRDefault="00061ED0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:rsidR="00061ED0" w:rsidRDefault="00D71D9D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061ED0" w:rsidRDefault="00061ED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061ED0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eastAsia="Calibri" w:hAnsi="Corbel" w:cs="Times New Roman"/>
                <w:sz w:val="24"/>
                <w:szCs w:val="24"/>
              </w:rPr>
              <w:footnoteReference w:id="1"/>
            </w:r>
          </w:p>
        </w:tc>
      </w:tr>
      <w:tr w:rsidR="00061ED0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zna i rozumie w zaawansowanym stopniu pojęcia i zasady z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zakresu ochrony własności przemysłowej i prawa autorskiego potrzebne w obszarze socjologii.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KW_11</w:t>
            </w:r>
          </w:p>
        </w:tc>
      </w:tr>
      <w:tr w:rsidR="00061ED0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właściwie interpretuje zjawiska społeczne w zakresie socjologii i public relations;</w:t>
            </w:r>
            <w:r>
              <w:t xml:space="preserve">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współdziała i pracuje w grupie, przyjmując w niej różne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role.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KU_01</w:t>
            </w:r>
          </w:p>
          <w:p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KU_13</w:t>
            </w:r>
          </w:p>
          <w:p w:rsidR="00061ED0" w:rsidRDefault="00061ED0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061ED0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jest gotów do przedsiębiorczego myślenia i działania w zakresie analizy działań public relations oraz zjawisk społecznych zachodzących w obszarze komunikacji.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KK_05</w:t>
            </w:r>
          </w:p>
          <w:p w:rsidR="00061ED0" w:rsidRDefault="00061ED0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:rsidR="00061ED0" w:rsidRDefault="00061ED0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061ED0" w:rsidRDefault="00D71D9D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>
        <w:rPr>
          <w:rFonts w:ascii="Corbel" w:eastAsia="Calibri" w:hAnsi="Corbel" w:cs="Times New Roman"/>
          <w:sz w:val="24"/>
          <w:szCs w:val="24"/>
        </w:rPr>
        <w:t xml:space="preserve">  </w:t>
      </w:r>
    </w:p>
    <w:p w:rsidR="00061ED0" w:rsidRDefault="00D71D9D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:rsidR="00061ED0" w:rsidRDefault="00061ED0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Treści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merytoryczne</w:t>
            </w:r>
          </w:p>
        </w:tc>
      </w:tr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:rsidR="00061ED0" w:rsidRDefault="00061ED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061ED0" w:rsidRDefault="00D71D9D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:rsidR="00061ED0" w:rsidRDefault="00061ED0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Komunikacja społeczna (systemy komunikacji, PR,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digital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PR, sytuacja kryzysowa) – podstawowe pojęcia i definicje.</w:t>
            </w:r>
          </w:p>
        </w:tc>
      </w:tr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Wybrane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zagadnienia autoprezentacji i wpływu społecznego.</w:t>
            </w:r>
          </w:p>
        </w:tc>
      </w:tr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Podstawowe techniki PR.</w:t>
            </w:r>
          </w:p>
        </w:tc>
      </w:tr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Budowanie wizerunku firmy i instytucji.</w:t>
            </w:r>
          </w:p>
        </w:tc>
      </w:tr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Profesjonalne zarządzanie informacją –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infobrookering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Tworzenie komunikatów komunikacji wewnętrznej.</w:t>
            </w:r>
          </w:p>
        </w:tc>
      </w:tr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Tworzenie komunikatów komunikacji z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ewnętrznej.</w:t>
            </w:r>
          </w:p>
        </w:tc>
      </w:tr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Kampanie PR – zadania, cele, planowanie strategii,</w:t>
            </w:r>
            <w:r>
              <w:t xml:space="preserve">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elementy przekazu.</w:t>
            </w:r>
          </w:p>
        </w:tc>
      </w:tr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Media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planning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– planowanie i współpraca z mediami (wybór optymalnych dla osiągnięcia celów klienta platform medialnych i ich kombinacji).</w:t>
            </w:r>
          </w:p>
        </w:tc>
      </w:tr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Konferencja prasowa i briefing –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założenia, organizacja.</w:t>
            </w:r>
          </w:p>
        </w:tc>
      </w:tr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Social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buissnes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marketing i PR: monitoring Internetu, zarządzanie reputacją w sieci, budowa marki w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social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media,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consumer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insights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analiza i pomiar skuteczności działań w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social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media.</w:t>
            </w:r>
          </w:p>
        </w:tc>
      </w:tr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Budowanie wizerunku marki i produktu. </w:t>
            </w:r>
          </w:p>
        </w:tc>
      </w:tr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Marka osobowościowa jako element działań PR.</w:t>
            </w:r>
          </w:p>
        </w:tc>
      </w:tr>
    </w:tbl>
    <w:p w:rsidR="00061ED0" w:rsidRDefault="00061ED0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061ED0" w:rsidRDefault="00D71D9D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3.4 Metody dydaktyczne</w:t>
      </w:r>
      <w:r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061ED0" w:rsidRDefault="00061ED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061ED0" w:rsidRDefault="00D71D9D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analiza tekstów z dyskusją, analiza treści multimedialnych, studium przypadków, praca w grupach</w:t>
      </w:r>
    </w:p>
    <w:p w:rsidR="00061ED0" w:rsidRDefault="00061ED0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061ED0" w:rsidRDefault="00D71D9D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:rsidR="00061ED0" w:rsidRDefault="00061ED0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061ED0" w:rsidRDefault="00D71D9D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:rsidR="00061ED0" w:rsidRDefault="00061ED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46"/>
        <w:gridCol w:w="5991"/>
        <w:gridCol w:w="1983"/>
      </w:tblGrid>
      <w:tr w:rsidR="00061ED0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061ED0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proofErr w:type="spellEnd"/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obserwacja w trakcie zajęć, kolokwium lub zaliczenie ustne lub praca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zaliczeniowa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  <w:tr w:rsidR="00061ED0">
        <w:trPr>
          <w:trHeight w:val="285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  <w:tr w:rsidR="00061ED0">
        <w:trPr>
          <w:trHeight w:val="268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03</w:t>
            </w:r>
          </w:p>
        </w:tc>
        <w:tc>
          <w:tcPr>
            <w:tcW w:w="5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</w:tbl>
    <w:p w:rsidR="00061ED0" w:rsidRDefault="00061ED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061ED0" w:rsidRDefault="00D71D9D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:rsidR="00061ED0" w:rsidRDefault="00061ED0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- uzyskanie min. 50 proc. maksymalnej liczby punktów (w przypadku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kolokwium)</w:t>
            </w:r>
          </w:p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poprawna odpowiedź na 50 proc. pytań (w przypadku zaliczenia ustnego) lub</w:t>
            </w:r>
          </w:p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uzyskanie pozytywnej oceny z pracy zaliczeniowej</w:t>
            </w:r>
          </w:p>
        </w:tc>
      </w:tr>
    </w:tbl>
    <w:p w:rsidR="00061ED0" w:rsidRDefault="00061ED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061ED0" w:rsidRDefault="00D71D9D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061ED0" w:rsidRDefault="00061ED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061ED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61ED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061ED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:rsidR="00061ED0" w:rsidRDefault="00D71D9D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  <w:tr w:rsidR="00061ED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Godziny niekontaktowe – praca własna studenta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18</w:t>
            </w:r>
          </w:p>
        </w:tc>
      </w:tr>
      <w:tr w:rsidR="00061ED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061ED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:rsidR="00061ED0" w:rsidRDefault="00D71D9D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:rsidR="00061ED0" w:rsidRDefault="00061ED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061ED0" w:rsidRDefault="00061ED0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061ED0" w:rsidRDefault="00D71D9D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br w:type="column"/>
      </w:r>
      <w:r>
        <w:rPr>
          <w:rFonts w:ascii="Corbel" w:eastAsia="Calibri" w:hAnsi="Corbel" w:cs="Times New Roman"/>
          <w:b/>
          <w:sz w:val="24"/>
          <w:szCs w:val="24"/>
        </w:rPr>
        <w:lastRenderedPageBreak/>
        <w:t>6. PRAKTYKI ZAWODOWE W RAMACH PRZEDMIOTU</w:t>
      </w:r>
    </w:p>
    <w:p w:rsidR="00061ED0" w:rsidRDefault="00061ED0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8113" w:type="dxa"/>
        <w:tblInd w:w="76" w:type="dxa"/>
        <w:tblLayout w:type="fixed"/>
        <w:tblLook w:val="04A0" w:firstRow="1" w:lastRow="0" w:firstColumn="1" w:lastColumn="0" w:noHBand="0" w:noVBand="1"/>
      </w:tblPr>
      <w:tblGrid>
        <w:gridCol w:w="4140"/>
        <w:gridCol w:w="3973"/>
      </w:tblGrid>
      <w:tr w:rsidR="00061ED0">
        <w:trPr>
          <w:trHeight w:val="397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="00061ED0">
        <w:trPr>
          <w:trHeight w:val="397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Nie dotyczy</w:t>
            </w:r>
          </w:p>
        </w:tc>
      </w:tr>
    </w:tbl>
    <w:p w:rsidR="00061ED0" w:rsidRDefault="00061ED0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061ED0" w:rsidRDefault="00D71D9D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:rsidR="00061ED0" w:rsidRDefault="00061ED0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8173" w:type="dxa"/>
        <w:tblInd w:w="16" w:type="dxa"/>
        <w:tblLayout w:type="fixed"/>
        <w:tblLook w:val="04A0" w:firstRow="1" w:lastRow="0" w:firstColumn="1" w:lastColumn="0" w:noHBand="0" w:noVBand="1"/>
      </w:tblPr>
      <w:tblGrid>
        <w:gridCol w:w="8173"/>
      </w:tblGrid>
      <w:tr w:rsidR="00061ED0">
        <w:trPr>
          <w:trHeight w:val="397"/>
        </w:trPr>
        <w:tc>
          <w:tcPr>
            <w:tcW w:w="8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  <w:t>Literatura podstawowa:</w:t>
            </w:r>
          </w:p>
          <w:p w:rsidR="00061ED0" w:rsidRDefault="00061ED0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</w:p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M. Sadowski, </w:t>
            </w:r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 xml:space="preserve">Rewolucja </w:t>
            </w:r>
            <w:proofErr w:type="spellStart"/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social</w:t>
            </w:r>
            <w:proofErr w:type="spellEnd"/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 xml:space="preserve"> media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Helion, Gliwice 2013. </w:t>
            </w:r>
          </w:p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D.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Jemielniak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A. K. Koźmiński (red.), </w:t>
            </w:r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Zarządzanie wiedzą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Wolters Kluwer,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Warszawa 2012.</w:t>
            </w:r>
          </w:p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W. Filipkowski, W.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Mądrzejowski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Biały wywiad. Otwarte źródła informacji – wokół teorii i praktyki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C.H. Beck, Warszawa 2011.</w:t>
            </w:r>
          </w:p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K.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Mitnick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Sztuka podstępu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Helion, Gliwice 2016.</w:t>
            </w:r>
          </w:p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B.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Poulet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Śmierć gazet i przyszłość informacji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Wyd. Czarne, Wo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łowiec 2011.</w:t>
            </w:r>
          </w:p>
          <w:p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K. Wójcik,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Public Relations od A do Z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Placet, Warszawa 2001.</w:t>
            </w:r>
          </w:p>
          <w:p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J. Olędzki (red.),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Public relations w komunikowaniu społecznym i marketingu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Astra, Warszawa 2010.</w:t>
            </w:r>
          </w:p>
          <w:p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J. Olędzki, Dariusz Tworzydło,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 xml:space="preserve">Public relations. Znaczenie społeczne i kierunki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rozwoju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PWN, Warszawa 2007.</w:t>
            </w:r>
          </w:p>
          <w:p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A. Green,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Kreatywność w Public Relations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Polskie Wydawnictwo Ekonomiczne, Warszawa 2004.</w:t>
            </w:r>
          </w:p>
          <w:p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S. Olivier,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Strategie Public Relations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Polskie Wydawnictwo Ekonomiczne, Warszawa 2005.</w:t>
            </w:r>
          </w:p>
          <w:p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I. Podobas,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Public Relations jako narzędzie kreow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ania wizerunku partii politycznych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Difin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2011.</w:t>
            </w:r>
          </w:p>
          <w:p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R. Szczepanik, Krzyżowska O.,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Nietypowe przypadki Public Relations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Helion, Gliwice 2005</w:t>
            </w:r>
          </w:p>
          <w:p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  <w:lang w:val="en-US"/>
              </w:rPr>
              <w:t xml:space="preserve">J. P.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  <w:lang w:val="en-US"/>
              </w:rPr>
              <w:t>Szyfter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  <w:t xml:space="preserve">Public Relations w </w:t>
            </w:r>
            <w:proofErr w:type="spellStart"/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  <w:t>Internecie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  <w:lang w:val="en-US"/>
              </w:rPr>
              <w:t>, Helion, Gliwice 2005.</w:t>
            </w:r>
          </w:p>
          <w:p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W. Nowak, Media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planning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Dom Marketingow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y, Warszawa 2001.</w:t>
            </w:r>
          </w:p>
          <w:p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C.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Shapiro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H. R.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Varian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Potęga informacji: strategiczny przewodnik po gospodarce sieciowej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Helion, Gliwice 2007.</w:t>
            </w:r>
          </w:p>
        </w:tc>
      </w:tr>
      <w:tr w:rsidR="00061ED0">
        <w:trPr>
          <w:trHeight w:val="397"/>
        </w:trPr>
        <w:tc>
          <w:tcPr>
            <w:tcW w:w="8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  <w:t xml:space="preserve">Literatura uzupełniająca: </w:t>
            </w:r>
          </w:p>
          <w:p w:rsidR="00061ED0" w:rsidRDefault="00061ED0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</w:p>
          <w:p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A. Murdoch,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Komunikowanie w kryzysie. Jak ratować wizerunek firmy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Poltext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2003.</w:t>
            </w:r>
          </w:p>
          <w:p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U. Podraza,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Kryzysowe Public Relations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Difin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2009,</w:t>
            </w:r>
          </w:p>
          <w:p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D. M. Scott,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Nowe zasady marketingu i PR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Wolters Kluwer, Warszawa 2009. </w:t>
            </w:r>
          </w:p>
          <w:p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T. Smektała,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Public Relations w Internecie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Astrum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Wrocław 2005.</w:t>
            </w:r>
          </w:p>
        </w:tc>
      </w:tr>
    </w:tbl>
    <w:p w:rsidR="00061ED0" w:rsidRDefault="00061ED0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061ED0" w:rsidRDefault="00061ED0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061ED0" w:rsidRDefault="00D71D9D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 xml:space="preserve">Akceptacja Kierownika Jednostki lub osoby </w:t>
      </w:r>
      <w:r>
        <w:rPr>
          <w:rFonts w:ascii="Corbel" w:eastAsia="Calibri" w:hAnsi="Corbel" w:cs="Times New Roman"/>
          <w:sz w:val="24"/>
          <w:szCs w:val="24"/>
        </w:rPr>
        <w:t>upoważnionej</w:t>
      </w:r>
    </w:p>
    <w:p w:rsidR="00061ED0" w:rsidRDefault="00061ED0"/>
    <w:sectPr w:rsidR="00061ED0">
      <w:pgSz w:w="11906" w:h="16838"/>
      <w:pgMar w:top="1134" w:right="1134" w:bottom="1134" w:left="113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D9D" w:rsidRDefault="00D71D9D">
      <w:pPr>
        <w:spacing w:after="0" w:line="240" w:lineRule="auto"/>
      </w:pPr>
      <w:r>
        <w:separator/>
      </w:r>
    </w:p>
  </w:endnote>
  <w:endnote w:type="continuationSeparator" w:id="0">
    <w:p w:rsidR="00D71D9D" w:rsidRDefault="00D71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D9D" w:rsidRDefault="00D71D9D">
      <w:pPr>
        <w:rPr>
          <w:sz w:val="12"/>
        </w:rPr>
      </w:pPr>
      <w:r>
        <w:separator/>
      </w:r>
    </w:p>
  </w:footnote>
  <w:footnote w:type="continuationSeparator" w:id="0">
    <w:p w:rsidR="00D71D9D" w:rsidRDefault="00D71D9D">
      <w:pPr>
        <w:rPr>
          <w:sz w:val="12"/>
        </w:rPr>
      </w:pPr>
      <w:r>
        <w:continuationSeparator/>
      </w:r>
    </w:p>
  </w:footnote>
  <w:footnote w:id="1">
    <w:p w:rsidR="00061ED0" w:rsidRDefault="00D71D9D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</w:t>
      </w:r>
      <w: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1D63AE"/>
    <w:multiLevelType w:val="multilevel"/>
    <w:tmpl w:val="8E54D3C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63D833C6"/>
    <w:multiLevelType w:val="multilevel"/>
    <w:tmpl w:val="BDB8AC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ED0"/>
    <w:rsid w:val="00061ED0"/>
    <w:rsid w:val="00D71D9D"/>
    <w:rsid w:val="00FE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B4A000-C2F6-4DFD-9B78-D226A79F0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E6E64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EE6E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51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7651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76518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518"/>
    <w:rPr>
      <w:rFonts w:ascii="Segoe UI" w:hAnsi="Segoe UI" w:cs="Segoe UI"/>
      <w:sz w:val="18"/>
      <w:szCs w:val="18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65E0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7651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7651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518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978</Words>
  <Characters>5868</Characters>
  <Application>Microsoft Office Word</Application>
  <DocSecurity>0</DocSecurity>
  <Lines>48</Lines>
  <Paragraphs>13</Paragraphs>
  <ScaleCrop>false</ScaleCrop>
  <Company>Acer</Company>
  <LinksUpToDate>false</LinksUpToDate>
  <CharactersWithSpaces>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dc:description/>
  <cp:lastModifiedBy>Admin</cp:lastModifiedBy>
  <cp:revision>8</cp:revision>
  <dcterms:created xsi:type="dcterms:W3CDTF">2020-10-26T16:35:00Z</dcterms:created>
  <dcterms:modified xsi:type="dcterms:W3CDTF">2021-01-13T08:50:00Z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Acer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